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B39" w:rsidRPr="009D6E9B" w:rsidRDefault="00516A6E">
      <w:pPr>
        <w:jc w:val="center"/>
        <w:rPr>
          <w:b/>
          <w:sz w:val="22"/>
          <w:szCs w:val="22"/>
        </w:rPr>
      </w:pPr>
      <w:r>
        <w:rPr>
          <w:b/>
        </w:rPr>
        <w:t>Обоснование расчета плановой цены (НМЦ)</w:t>
      </w:r>
    </w:p>
    <w:p w:rsidR="007C7B39" w:rsidRPr="009D6E9B" w:rsidRDefault="007C7B39">
      <w:pPr>
        <w:rPr>
          <w:sz w:val="22"/>
          <w:szCs w:val="22"/>
        </w:rPr>
      </w:pPr>
    </w:p>
    <w:p w:rsidR="007C7B39" w:rsidRPr="009D6E9B" w:rsidRDefault="00516A6E">
      <w:pPr>
        <w:pStyle w:val="ad"/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  <w:color w:val="auto"/>
          <w:szCs w:val="22"/>
        </w:rPr>
      </w:pPr>
      <w:r w:rsidRPr="009D6E9B">
        <w:rPr>
          <w:rFonts w:ascii="Times New Roman" w:hAnsi="Times New Roman"/>
          <w:b/>
          <w:color w:val="auto"/>
          <w:szCs w:val="22"/>
        </w:rPr>
        <w:t>Общая информация</w:t>
      </w:r>
    </w:p>
    <w:tbl>
      <w:tblPr>
        <w:tblStyle w:val="af1"/>
        <w:tblW w:w="9527" w:type="dxa"/>
        <w:tblInd w:w="-39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9D6E9B" w:rsidRPr="009D6E9B">
        <w:tc>
          <w:tcPr>
            <w:tcW w:w="704" w:type="dxa"/>
            <w:shd w:val="clear" w:color="auto" w:fill="auto"/>
            <w:tcMar>
              <w:left w:w="103" w:type="dxa"/>
            </w:tcMar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№ п/п</w:t>
            </w:r>
          </w:p>
        </w:tc>
        <w:tc>
          <w:tcPr>
            <w:tcW w:w="3720" w:type="dxa"/>
            <w:shd w:val="clear" w:color="auto" w:fill="auto"/>
            <w:tcMar>
              <w:left w:w="103" w:type="dxa"/>
            </w:tcMar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Наименование</w:t>
            </w:r>
          </w:p>
        </w:tc>
        <w:tc>
          <w:tcPr>
            <w:tcW w:w="5103" w:type="dxa"/>
            <w:shd w:val="clear" w:color="auto" w:fill="auto"/>
            <w:tcMar>
              <w:left w:w="103" w:type="dxa"/>
            </w:tcMar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Информация по лоту</w:t>
            </w:r>
          </w:p>
        </w:tc>
      </w:tr>
      <w:tr w:rsidR="009D6E9B" w:rsidRPr="009D6E9B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7C7B39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color w:val="auto"/>
                <w:szCs w:val="22"/>
              </w:rPr>
            </w:pPr>
          </w:p>
        </w:tc>
        <w:tc>
          <w:tcPr>
            <w:tcW w:w="3720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Наименование лота</w:t>
            </w:r>
          </w:p>
        </w:tc>
        <w:tc>
          <w:tcPr>
            <w:tcW w:w="5103" w:type="dxa"/>
            <w:shd w:val="clear" w:color="auto" w:fill="auto"/>
            <w:tcMar>
              <w:left w:w="103" w:type="dxa"/>
            </w:tcMar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 xml:space="preserve"> </w:t>
            </w:r>
            <w:r w:rsidRPr="009D6E9B">
              <w:rPr>
                <w:rFonts w:ascii="Times New Roman" w:eastAsia="Calibri" w:hAnsi="Times New Roman"/>
                <w:bCs/>
                <w:color w:val="auto"/>
                <w:szCs w:val="22"/>
                <w:lang w:eastAsia="en-US"/>
              </w:rPr>
              <w:t xml:space="preserve">ОКПД2 42.22.22.120 Выполнение работ по строительству, реконструкции электрических сетей и организации коммерческого учета электрической </w:t>
            </w:r>
            <w:r w:rsidRPr="009D6E9B">
              <w:rPr>
                <w:rFonts w:ascii="Times New Roman" w:eastAsia="Calibri" w:hAnsi="Times New Roman"/>
                <w:bCs/>
                <w:color w:val="auto"/>
                <w:szCs w:val="22"/>
                <w:lang w:eastAsia="en-US"/>
              </w:rPr>
              <w:t xml:space="preserve">энергии для технологического присоединения потребителей до 150 кВт (в том числе ПИР) на территории Биробиджанского, Городского, Ленинского, </w:t>
            </w:r>
            <w:proofErr w:type="spellStart"/>
            <w:r w:rsidRPr="009D6E9B">
              <w:rPr>
                <w:rFonts w:ascii="Times New Roman" w:eastAsia="Calibri" w:hAnsi="Times New Roman"/>
                <w:bCs/>
                <w:color w:val="auto"/>
                <w:szCs w:val="22"/>
                <w:lang w:eastAsia="en-US"/>
              </w:rPr>
              <w:t>Облученского</w:t>
            </w:r>
            <w:proofErr w:type="spellEnd"/>
            <w:r w:rsidRPr="009D6E9B">
              <w:rPr>
                <w:rFonts w:ascii="Times New Roman" w:eastAsia="Calibri" w:hAnsi="Times New Roman"/>
                <w:bCs/>
                <w:color w:val="auto"/>
                <w:szCs w:val="22"/>
                <w:lang w:eastAsia="en-US"/>
              </w:rPr>
              <w:t xml:space="preserve">, Октябрьского, </w:t>
            </w:r>
            <w:proofErr w:type="spellStart"/>
            <w:r w:rsidRPr="009D6E9B">
              <w:rPr>
                <w:rFonts w:ascii="Times New Roman" w:eastAsia="Calibri" w:hAnsi="Times New Roman"/>
                <w:bCs/>
                <w:color w:val="auto"/>
                <w:szCs w:val="22"/>
                <w:lang w:eastAsia="en-US"/>
              </w:rPr>
              <w:t>Смидовичского</w:t>
            </w:r>
            <w:proofErr w:type="spellEnd"/>
            <w:r w:rsidRPr="009D6E9B">
              <w:rPr>
                <w:rFonts w:ascii="Times New Roman" w:eastAsia="Calibri" w:hAnsi="Times New Roman"/>
                <w:bCs/>
                <w:color w:val="auto"/>
                <w:szCs w:val="22"/>
                <w:lang w:eastAsia="en-US"/>
              </w:rPr>
              <w:t xml:space="preserve">, </w:t>
            </w:r>
            <w:proofErr w:type="spellStart"/>
            <w:r w:rsidRPr="009D6E9B">
              <w:rPr>
                <w:rFonts w:ascii="Times New Roman" w:eastAsia="Calibri" w:hAnsi="Times New Roman"/>
                <w:bCs/>
                <w:color w:val="auto"/>
                <w:szCs w:val="22"/>
                <w:lang w:eastAsia="en-US"/>
              </w:rPr>
              <w:t>Теплоозерского</w:t>
            </w:r>
            <w:proofErr w:type="spellEnd"/>
            <w:r w:rsidRPr="009D6E9B">
              <w:rPr>
                <w:rFonts w:ascii="Times New Roman" w:eastAsia="Calibri" w:hAnsi="Times New Roman"/>
                <w:bCs/>
                <w:color w:val="auto"/>
                <w:szCs w:val="22"/>
                <w:lang w:eastAsia="en-US"/>
              </w:rPr>
              <w:t xml:space="preserve"> РЭС филиала "Электрические сети ЕАО" в рамках </w:t>
            </w:r>
            <w:proofErr w:type="spellStart"/>
            <w:r w:rsidRPr="009D6E9B">
              <w:rPr>
                <w:rFonts w:ascii="Times New Roman" w:eastAsia="Calibri" w:hAnsi="Times New Roman"/>
                <w:bCs/>
                <w:color w:val="auto"/>
                <w:szCs w:val="22"/>
                <w:lang w:eastAsia="en-US"/>
              </w:rPr>
              <w:t>инвестионных</w:t>
            </w:r>
            <w:proofErr w:type="spellEnd"/>
            <w:r w:rsidRPr="009D6E9B">
              <w:rPr>
                <w:rFonts w:ascii="Times New Roman" w:eastAsia="Calibri" w:hAnsi="Times New Roman"/>
                <w:bCs/>
                <w:color w:val="auto"/>
                <w:szCs w:val="22"/>
                <w:lang w:eastAsia="en-US"/>
              </w:rPr>
              <w:t xml:space="preserve"> проектов (Г-ЕАО-1; Г-ЕАО-2; Г-ЕАО-4; Г-ЕАО-5; Г-ЕАО-6; Г-ЕАО-7)</w:t>
            </w:r>
          </w:p>
        </w:tc>
      </w:tr>
      <w:tr w:rsidR="009D6E9B" w:rsidRPr="009D6E9B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7C7B39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color w:val="auto"/>
                <w:szCs w:val="22"/>
              </w:rPr>
            </w:pPr>
          </w:p>
        </w:tc>
        <w:tc>
          <w:tcPr>
            <w:tcW w:w="3720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Номер лота</w:t>
            </w:r>
          </w:p>
        </w:tc>
        <w:tc>
          <w:tcPr>
            <w:tcW w:w="5103" w:type="dxa"/>
            <w:shd w:val="clear" w:color="auto" w:fill="auto"/>
            <w:tcMar>
              <w:left w:w="103" w:type="dxa"/>
            </w:tcMar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 xml:space="preserve">  28501-КС ПИР СМР-2024-ДРСК-ЕАО</w:t>
            </w:r>
          </w:p>
        </w:tc>
      </w:tr>
      <w:tr w:rsidR="009D6E9B" w:rsidRPr="009D6E9B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7C7B39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color w:val="auto"/>
                <w:szCs w:val="22"/>
              </w:rPr>
            </w:pPr>
          </w:p>
        </w:tc>
        <w:tc>
          <w:tcPr>
            <w:tcW w:w="3720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  <w:shd w:val="clear" w:color="auto" w:fill="auto"/>
            <w:tcMar>
              <w:left w:w="103" w:type="dxa"/>
            </w:tcMar>
          </w:tcPr>
          <w:p w:rsidR="007C7B39" w:rsidRPr="009D6E9B" w:rsidRDefault="007C7B39">
            <w:pPr>
              <w:pStyle w:val="ad"/>
              <w:spacing w:after="0" w:line="240" w:lineRule="auto"/>
              <w:ind w:left="0"/>
              <w:rPr>
                <w:rFonts w:ascii="Times New Roman" w:eastAsia="Calibri" w:hAnsi="Times New Roman"/>
                <w:color w:val="auto"/>
                <w:szCs w:val="22"/>
              </w:rPr>
            </w:pPr>
          </w:p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-</w:t>
            </w:r>
          </w:p>
        </w:tc>
      </w:tr>
      <w:tr w:rsidR="009D6E9B" w:rsidRPr="009D6E9B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7C7B39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color w:val="auto"/>
                <w:szCs w:val="22"/>
              </w:rPr>
            </w:pPr>
          </w:p>
        </w:tc>
        <w:tc>
          <w:tcPr>
            <w:tcW w:w="3720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 xml:space="preserve">Закупка по лоту планируется </w:t>
            </w:r>
          </w:p>
        </w:tc>
        <w:tc>
          <w:tcPr>
            <w:tcW w:w="5103" w:type="dxa"/>
            <w:shd w:val="clear" w:color="auto" w:fill="auto"/>
            <w:tcMar>
              <w:left w:w="103" w:type="dxa"/>
            </w:tcMar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конкурентная</w:t>
            </w:r>
          </w:p>
        </w:tc>
      </w:tr>
      <w:tr w:rsidR="009D6E9B" w:rsidRPr="009D6E9B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7C7B39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color w:val="auto"/>
                <w:szCs w:val="22"/>
              </w:rPr>
            </w:pPr>
          </w:p>
        </w:tc>
        <w:tc>
          <w:tcPr>
            <w:tcW w:w="3720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Расчет составил</w:t>
            </w:r>
          </w:p>
        </w:tc>
        <w:tc>
          <w:tcPr>
            <w:tcW w:w="5103" w:type="dxa"/>
            <w:shd w:val="clear" w:color="auto" w:fill="auto"/>
            <w:tcMar>
              <w:left w:w="103" w:type="dxa"/>
            </w:tcMar>
          </w:tcPr>
          <w:p w:rsidR="007C7B39" w:rsidRPr="009D6E9B" w:rsidRDefault="007C7B39">
            <w:pPr>
              <w:pStyle w:val="ad"/>
              <w:spacing w:after="0" w:line="240" w:lineRule="auto"/>
              <w:ind w:left="0"/>
              <w:rPr>
                <w:rFonts w:ascii="Times New Roman" w:eastAsia="Calibri" w:hAnsi="Times New Roman"/>
                <w:color w:val="auto"/>
                <w:szCs w:val="22"/>
              </w:rPr>
            </w:pPr>
          </w:p>
        </w:tc>
      </w:tr>
    </w:tbl>
    <w:p w:rsidR="007C7B39" w:rsidRPr="009D6E9B" w:rsidRDefault="007C7B39">
      <w:pPr>
        <w:pStyle w:val="ad"/>
        <w:rPr>
          <w:rFonts w:ascii="Times New Roman" w:hAnsi="Times New Roman"/>
          <w:color w:val="auto"/>
          <w:szCs w:val="22"/>
        </w:rPr>
      </w:pPr>
    </w:p>
    <w:p w:rsidR="007C7B39" w:rsidRPr="009D6E9B" w:rsidRDefault="00516A6E">
      <w:pPr>
        <w:pStyle w:val="ad"/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  <w:color w:val="auto"/>
          <w:szCs w:val="22"/>
        </w:rPr>
      </w:pPr>
      <w:r w:rsidRPr="009D6E9B">
        <w:rPr>
          <w:rFonts w:ascii="Times New Roman" w:hAnsi="Times New Roman"/>
          <w:b/>
          <w:color w:val="auto"/>
          <w:szCs w:val="22"/>
        </w:rPr>
        <w:t>Примененный метод (методы) расчета ПЦ</w:t>
      </w:r>
    </w:p>
    <w:tbl>
      <w:tblPr>
        <w:tblStyle w:val="af1"/>
        <w:tblW w:w="9498" w:type="dxa"/>
        <w:tblInd w:w="-39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9D6E9B" w:rsidRPr="009D6E9B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№ п/п</w:t>
            </w:r>
          </w:p>
        </w:tc>
        <w:tc>
          <w:tcPr>
            <w:tcW w:w="8789" w:type="dxa"/>
            <w:gridSpan w:val="2"/>
            <w:shd w:val="clear" w:color="auto" w:fill="auto"/>
            <w:tcMar>
              <w:left w:w="103" w:type="dxa"/>
            </w:tcMar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Информация по лоту</w:t>
            </w:r>
          </w:p>
        </w:tc>
      </w:tr>
      <w:tr w:rsidR="009D6E9B" w:rsidRPr="009D6E9B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7C7B39" w:rsidRPr="009D6E9B" w:rsidRDefault="007C7B39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color w:val="auto"/>
                <w:szCs w:val="22"/>
              </w:rPr>
            </w:pPr>
          </w:p>
        </w:tc>
        <w:tc>
          <w:tcPr>
            <w:tcW w:w="8789" w:type="dxa"/>
            <w:gridSpan w:val="2"/>
            <w:shd w:val="clear" w:color="auto" w:fill="auto"/>
            <w:tcMar>
              <w:left w:w="103" w:type="dxa"/>
            </w:tcMar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b/>
                <w:color w:val="auto"/>
                <w:szCs w:val="22"/>
              </w:rPr>
              <w:t xml:space="preserve">Частная категория № 1: </w:t>
            </w:r>
            <w:r w:rsidRPr="009D6E9B">
              <w:rPr>
                <w:rFonts w:ascii="Times New Roman" w:eastAsia="Calibri" w:hAnsi="Times New Roman"/>
                <w:i/>
                <w:color w:val="auto"/>
                <w:szCs w:val="22"/>
              </w:rPr>
              <w:t xml:space="preserve">Новое строительство, </w:t>
            </w:r>
            <w:proofErr w:type="spellStart"/>
            <w:r w:rsidRPr="009D6E9B">
              <w:rPr>
                <w:rFonts w:ascii="Times New Roman" w:eastAsia="Calibri" w:hAnsi="Times New Roman"/>
                <w:i/>
                <w:color w:val="auto"/>
                <w:szCs w:val="22"/>
              </w:rPr>
              <w:t>ТПиР</w:t>
            </w:r>
            <w:proofErr w:type="spellEnd"/>
            <w:r w:rsidRPr="009D6E9B">
              <w:rPr>
                <w:rFonts w:ascii="Times New Roman" w:eastAsia="Calibri" w:hAnsi="Times New Roman"/>
                <w:i/>
                <w:color w:val="auto"/>
                <w:szCs w:val="22"/>
              </w:rPr>
              <w:t xml:space="preserve">, капитальный ремонт </w:t>
            </w:r>
            <w:proofErr w:type="spellStart"/>
            <w:r w:rsidRPr="009D6E9B">
              <w:rPr>
                <w:rFonts w:ascii="Times New Roman" w:eastAsia="Calibri" w:hAnsi="Times New Roman"/>
                <w:i/>
                <w:color w:val="auto"/>
                <w:szCs w:val="22"/>
              </w:rPr>
              <w:t>энергооборудования</w:t>
            </w:r>
            <w:proofErr w:type="spellEnd"/>
            <w:r w:rsidRPr="009D6E9B">
              <w:rPr>
                <w:rFonts w:ascii="Times New Roman" w:eastAsia="Calibri" w:hAnsi="Times New Roman"/>
                <w:i/>
                <w:color w:val="auto"/>
                <w:szCs w:val="22"/>
              </w:rPr>
              <w:t xml:space="preserve">, ремонт зданий и сооружений, ТО </w:t>
            </w:r>
            <w:proofErr w:type="spellStart"/>
            <w:r w:rsidRPr="009D6E9B">
              <w:rPr>
                <w:rFonts w:ascii="Times New Roman" w:eastAsia="Calibri" w:hAnsi="Times New Roman"/>
                <w:i/>
                <w:color w:val="auto"/>
                <w:szCs w:val="22"/>
              </w:rPr>
              <w:t>энергооборудования</w:t>
            </w:r>
            <w:proofErr w:type="spellEnd"/>
            <w:r w:rsidRPr="009D6E9B">
              <w:rPr>
                <w:rFonts w:ascii="Times New Roman" w:eastAsia="Calibri" w:hAnsi="Times New Roman"/>
                <w:i/>
                <w:color w:val="auto"/>
                <w:szCs w:val="22"/>
              </w:rPr>
              <w:t>, зданий и сооружений.</w:t>
            </w:r>
          </w:p>
        </w:tc>
      </w:tr>
      <w:tr w:rsidR="009D6E9B" w:rsidRPr="009D6E9B">
        <w:tc>
          <w:tcPr>
            <w:tcW w:w="709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7C7B39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color w:val="auto"/>
                <w:szCs w:val="22"/>
              </w:rPr>
            </w:pPr>
          </w:p>
        </w:tc>
        <w:tc>
          <w:tcPr>
            <w:tcW w:w="3715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Основной метод расчета ПЦ по</w:t>
            </w: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 xml:space="preserve"> лоту</w:t>
            </w:r>
          </w:p>
        </w:tc>
        <w:tc>
          <w:tcPr>
            <w:tcW w:w="5074" w:type="dxa"/>
            <w:shd w:val="clear" w:color="auto" w:fill="auto"/>
            <w:tcMar>
              <w:left w:w="103" w:type="dxa"/>
            </w:tcMar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Базисно-индексный метод</w:t>
            </w:r>
          </w:p>
        </w:tc>
      </w:tr>
      <w:tr w:rsidR="009D6E9B" w:rsidRPr="009D6E9B">
        <w:tc>
          <w:tcPr>
            <w:tcW w:w="709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7C7B39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color w:val="auto"/>
                <w:szCs w:val="22"/>
              </w:rPr>
            </w:pPr>
          </w:p>
        </w:tc>
        <w:tc>
          <w:tcPr>
            <w:tcW w:w="3715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Проверочный метод расчета ПЦ по лоту</w:t>
            </w:r>
          </w:p>
        </w:tc>
        <w:tc>
          <w:tcPr>
            <w:tcW w:w="5074" w:type="dxa"/>
            <w:shd w:val="clear" w:color="auto" w:fill="auto"/>
            <w:tcMar>
              <w:left w:w="103" w:type="dxa"/>
            </w:tcMar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Не применимо</w:t>
            </w:r>
          </w:p>
        </w:tc>
      </w:tr>
      <w:tr w:rsidR="009D6E9B" w:rsidRPr="009D6E9B">
        <w:tc>
          <w:tcPr>
            <w:tcW w:w="709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7C7B39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color w:val="auto"/>
                <w:szCs w:val="22"/>
              </w:rPr>
            </w:pPr>
          </w:p>
        </w:tc>
        <w:tc>
          <w:tcPr>
            <w:tcW w:w="3715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Дополнительный метод расчета ПЦ по лоту</w:t>
            </w:r>
          </w:p>
        </w:tc>
        <w:tc>
          <w:tcPr>
            <w:tcW w:w="5074" w:type="dxa"/>
            <w:shd w:val="clear" w:color="auto" w:fill="auto"/>
            <w:tcMar>
              <w:left w:w="103" w:type="dxa"/>
            </w:tcMar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Не применимо</w:t>
            </w:r>
          </w:p>
        </w:tc>
      </w:tr>
      <w:tr w:rsidR="009D6E9B" w:rsidRPr="009D6E9B">
        <w:tc>
          <w:tcPr>
            <w:tcW w:w="709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7C7B39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color w:val="auto"/>
                <w:szCs w:val="22"/>
              </w:rPr>
            </w:pPr>
          </w:p>
        </w:tc>
        <w:tc>
          <w:tcPr>
            <w:tcW w:w="3715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Дата расчета (актуализации) расчета ПЦ</w:t>
            </w:r>
          </w:p>
        </w:tc>
        <w:tc>
          <w:tcPr>
            <w:tcW w:w="5074" w:type="dxa"/>
            <w:shd w:val="clear" w:color="auto" w:fill="auto"/>
            <w:tcMar>
              <w:left w:w="103" w:type="dxa"/>
            </w:tcMar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eastAsia="Calibri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14.09.2023</w:t>
            </w:r>
          </w:p>
        </w:tc>
      </w:tr>
    </w:tbl>
    <w:p w:rsidR="007C7B39" w:rsidRPr="009D6E9B" w:rsidRDefault="007C7B39">
      <w:pPr>
        <w:rPr>
          <w:b/>
          <w:color w:val="auto"/>
          <w:sz w:val="22"/>
          <w:szCs w:val="22"/>
        </w:rPr>
      </w:pPr>
    </w:p>
    <w:p w:rsidR="007C7B39" w:rsidRPr="009D6E9B" w:rsidRDefault="00516A6E">
      <w:pPr>
        <w:pStyle w:val="ad"/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  <w:color w:val="auto"/>
          <w:szCs w:val="22"/>
        </w:rPr>
      </w:pPr>
      <w:r w:rsidRPr="009D6E9B">
        <w:rPr>
          <w:rFonts w:ascii="Times New Roman" w:hAnsi="Times New Roman"/>
          <w:b/>
          <w:color w:val="auto"/>
          <w:szCs w:val="22"/>
        </w:rPr>
        <w:t>Свод ценовой информации по результатам расчета ПЦ</w:t>
      </w:r>
    </w:p>
    <w:tbl>
      <w:tblPr>
        <w:tblStyle w:val="af1"/>
        <w:tblW w:w="9527" w:type="dxa"/>
        <w:tblInd w:w="-39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04"/>
        <w:gridCol w:w="3674"/>
        <w:gridCol w:w="5149"/>
      </w:tblGrid>
      <w:tr w:rsidR="009D6E9B" w:rsidRPr="009D6E9B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№ п/п</w:t>
            </w:r>
          </w:p>
        </w:tc>
        <w:tc>
          <w:tcPr>
            <w:tcW w:w="3674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Наименование</w:t>
            </w:r>
          </w:p>
        </w:tc>
        <w:tc>
          <w:tcPr>
            <w:tcW w:w="5149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Информация по лоту</w:t>
            </w:r>
          </w:p>
        </w:tc>
      </w:tr>
      <w:tr w:rsidR="009D6E9B" w:rsidRPr="009D6E9B">
        <w:trPr>
          <w:trHeight w:val="1062"/>
        </w:trPr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7C7B39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color w:val="auto"/>
                <w:szCs w:val="22"/>
              </w:rPr>
            </w:pPr>
          </w:p>
        </w:tc>
        <w:tc>
          <w:tcPr>
            <w:tcW w:w="3674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 xml:space="preserve">ПЦ, полученная основным способом </w:t>
            </w:r>
          </w:p>
        </w:tc>
        <w:tc>
          <w:tcPr>
            <w:tcW w:w="5149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 w:rsidP="00516A6E">
            <w:pPr>
              <w:pStyle w:val="ad"/>
              <w:spacing w:after="0" w:line="240" w:lineRule="auto"/>
              <w:ind w:left="0"/>
              <w:rPr>
                <w:rFonts w:ascii="Times New Roman" w:eastAsia="Calibri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 xml:space="preserve"> </w:t>
            </w:r>
            <w:r w:rsidRPr="009D6E9B"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>17 400</w:t>
            </w:r>
            <w:r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> </w:t>
            </w:r>
            <w:r w:rsidRPr="009D6E9B"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>000</w:t>
            </w:r>
            <w:r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>,00</w:t>
            </w:r>
            <w:r w:rsidRPr="009D6E9B"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 xml:space="preserve">  </w:t>
            </w:r>
            <w:r w:rsidRPr="009D6E9B"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>рублей без учет</w:t>
            </w:r>
            <w:bookmarkStart w:id="0" w:name="_GoBack"/>
            <w:bookmarkEnd w:id="0"/>
            <w:r w:rsidRPr="009D6E9B"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>а НДС</w:t>
            </w:r>
          </w:p>
        </w:tc>
      </w:tr>
      <w:tr w:rsidR="009D6E9B" w:rsidRPr="009D6E9B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7C7B39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color w:val="auto"/>
                <w:szCs w:val="22"/>
              </w:rPr>
            </w:pPr>
          </w:p>
        </w:tc>
        <w:tc>
          <w:tcPr>
            <w:tcW w:w="3674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 xml:space="preserve">ПЦ, полученная проверочным способом </w:t>
            </w:r>
          </w:p>
        </w:tc>
        <w:tc>
          <w:tcPr>
            <w:tcW w:w="5149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Не применимо</w:t>
            </w:r>
          </w:p>
        </w:tc>
      </w:tr>
      <w:tr w:rsidR="009D6E9B" w:rsidRPr="009D6E9B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7C7B39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color w:val="auto"/>
                <w:szCs w:val="22"/>
              </w:rPr>
            </w:pPr>
          </w:p>
        </w:tc>
        <w:tc>
          <w:tcPr>
            <w:tcW w:w="3674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 xml:space="preserve">ПЦ, полученная дополнительным способом </w:t>
            </w:r>
          </w:p>
        </w:tc>
        <w:tc>
          <w:tcPr>
            <w:tcW w:w="5149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Не применимо</w:t>
            </w:r>
          </w:p>
        </w:tc>
      </w:tr>
      <w:tr w:rsidR="009D6E9B" w:rsidRPr="009D6E9B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7C7B39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color w:val="auto"/>
                <w:szCs w:val="22"/>
              </w:rPr>
            </w:pPr>
          </w:p>
        </w:tc>
        <w:tc>
          <w:tcPr>
            <w:tcW w:w="3674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Итоговая ПЦ</w:t>
            </w:r>
          </w:p>
        </w:tc>
        <w:tc>
          <w:tcPr>
            <w:tcW w:w="5149" w:type="dxa"/>
            <w:shd w:val="clear" w:color="auto" w:fill="auto"/>
            <w:tcMar>
              <w:left w:w="103" w:type="dxa"/>
            </w:tcMar>
            <w:vAlign w:val="center"/>
          </w:tcPr>
          <w:p w:rsidR="007C7B39" w:rsidRPr="009D6E9B" w:rsidRDefault="00516A6E">
            <w:pPr>
              <w:pStyle w:val="ad"/>
              <w:spacing w:after="0" w:line="240" w:lineRule="auto"/>
              <w:ind w:left="0"/>
              <w:rPr>
                <w:rFonts w:ascii="Times New Roman" w:eastAsia="Calibri" w:hAnsi="Times New Roman"/>
                <w:color w:val="auto"/>
                <w:szCs w:val="22"/>
              </w:rPr>
            </w:pPr>
            <w:r w:rsidRPr="009D6E9B"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>17 400</w:t>
            </w:r>
            <w:r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> </w:t>
            </w:r>
            <w:r w:rsidRPr="009D6E9B"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>000</w:t>
            </w:r>
            <w:r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>,00</w:t>
            </w:r>
            <w:r w:rsidRPr="009D6E9B"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 xml:space="preserve"> </w:t>
            </w:r>
            <w:r w:rsidRPr="009D6E9B">
              <w:rPr>
                <w:rFonts w:ascii="Times New Roman" w:eastAsia="Calibri" w:hAnsi="Times New Roman"/>
                <w:color w:val="auto"/>
                <w:szCs w:val="22"/>
              </w:rPr>
              <w:t>руб. без НДС</w:t>
            </w:r>
          </w:p>
        </w:tc>
      </w:tr>
    </w:tbl>
    <w:p w:rsidR="00516A6E" w:rsidRDefault="00516A6E">
      <w:pPr>
        <w:rPr>
          <w:b/>
          <w:sz w:val="22"/>
          <w:szCs w:val="22"/>
        </w:rPr>
      </w:pPr>
    </w:p>
    <w:p w:rsidR="00516A6E" w:rsidRDefault="00516A6E">
      <w:pPr>
        <w:rPr>
          <w:b/>
          <w:sz w:val="22"/>
          <w:szCs w:val="22"/>
        </w:rPr>
      </w:pPr>
    </w:p>
    <w:p w:rsidR="007C7B39" w:rsidRPr="009D6E9B" w:rsidRDefault="00516A6E">
      <w:pPr>
        <w:rPr>
          <w:b/>
          <w:sz w:val="22"/>
          <w:szCs w:val="22"/>
        </w:rPr>
      </w:pPr>
      <w:r w:rsidRPr="009D6E9B">
        <w:rPr>
          <w:b/>
          <w:sz w:val="22"/>
          <w:szCs w:val="22"/>
        </w:rPr>
        <w:t xml:space="preserve">Приложение: </w:t>
      </w:r>
      <w:r w:rsidRPr="00C01BF9">
        <w:t>Протокол согласования договорной цены (приложение 1 к ТТ)</w:t>
      </w:r>
    </w:p>
    <w:p w:rsidR="007C7B39" w:rsidRPr="009D6E9B" w:rsidRDefault="007C7B39">
      <w:pPr>
        <w:rPr>
          <w:b/>
          <w:sz w:val="22"/>
          <w:szCs w:val="22"/>
        </w:rPr>
      </w:pPr>
    </w:p>
    <w:p w:rsidR="007C7B39" w:rsidRPr="009D6E9B" w:rsidRDefault="007C7B39">
      <w:pPr>
        <w:rPr>
          <w:b/>
          <w:sz w:val="22"/>
          <w:szCs w:val="22"/>
        </w:rPr>
      </w:pPr>
    </w:p>
    <w:p w:rsidR="007C7B39" w:rsidRPr="009D6E9B" w:rsidRDefault="007C7B39">
      <w:pPr>
        <w:rPr>
          <w:sz w:val="22"/>
          <w:szCs w:val="22"/>
        </w:rPr>
      </w:pPr>
    </w:p>
    <w:sectPr w:rsidR="007C7B39" w:rsidRPr="009D6E9B">
      <w:pgSz w:w="11906" w:h="16838"/>
      <w:pgMar w:top="851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B56C9"/>
    <w:multiLevelType w:val="multilevel"/>
    <w:tmpl w:val="58AC31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D053B0F"/>
    <w:multiLevelType w:val="multilevel"/>
    <w:tmpl w:val="DD7C98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39"/>
    <w:rsid w:val="00516A6E"/>
    <w:rsid w:val="007C7B39"/>
    <w:rsid w:val="009D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8AB6E"/>
  <w15:docId w15:val="{BDC6B3E3-4C0D-4CFA-B4D9-F9EFAF84A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26F"/>
    <w:pPr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uiPriority w:val="34"/>
    <w:qFormat/>
    <w:rsid w:val="00EF726F"/>
    <w:rPr>
      <w:rFonts w:ascii="Calibri" w:eastAsia="Times New Roman" w:hAnsi="Calibri" w:cs="Times New Roman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qFormat/>
    <w:rsid w:val="003F791F"/>
    <w:rPr>
      <w:sz w:val="16"/>
      <w:szCs w:val="16"/>
    </w:rPr>
  </w:style>
  <w:style w:type="character" w:customStyle="1" w:styleId="a5">
    <w:name w:val="Текст примечания Знак"/>
    <w:basedOn w:val="a0"/>
    <w:uiPriority w:val="99"/>
    <w:semiHidden/>
    <w:qFormat/>
    <w:rsid w:val="003F7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ма примечания Знак"/>
    <w:basedOn w:val="a5"/>
    <w:uiPriority w:val="99"/>
    <w:semiHidden/>
    <w:qFormat/>
    <w:rsid w:val="003F7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3F791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b w:val="0"/>
    </w:rPr>
  </w:style>
  <w:style w:type="character" w:customStyle="1" w:styleId="ListLabel5">
    <w:name w:val="ListLabel 5"/>
    <w:qFormat/>
    <w:rPr>
      <w:b w:val="0"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b w:val="0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b w:val="0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Lucida Sans Unicode" w:hAnsi="Liberation Sans" w:cs="Lohit Devanagari"/>
      <w:sz w:val="28"/>
      <w:szCs w:val="28"/>
    </w:rPr>
  </w:style>
  <w:style w:type="paragraph" w:styleId="a9">
    <w:name w:val="Body Text"/>
    <w:basedOn w:val="a"/>
    <w:pPr>
      <w:spacing w:after="140" w:line="288" w:lineRule="auto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cs="Lohit Devanagari"/>
    </w:rPr>
  </w:style>
  <w:style w:type="paragraph" w:styleId="ad">
    <w:name w:val="List Paragraph"/>
    <w:basedOn w:val="a"/>
    <w:uiPriority w:val="34"/>
    <w:qFormat/>
    <w:rsid w:val="00EF726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styleId="ae">
    <w:name w:val="annotation text"/>
    <w:basedOn w:val="a"/>
    <w:uiPriority w:val="99"/>
    <w:semiHidden/>
    <w:unhideWhenUsed/>
    <w:qFormat/>
    <w:rsid w:val="003F791F"/>
    <w:rPr>
      <w:sz w:val="20"/>
      <w:szCs w:val="20"/>
    </w:rPr>
  </w:style>
  <w:style w:type="paragraph" w:styleId="af">
    <w:name w:val="annotation subject"/>
    <w:basedOn w:val="ae"/>
    <w:uiPriority w:val="99"/>
    <w:semiHidden/>
    <w:unhideWhenUsed/>
    <w:qFormat/>
    <w:rsid w:val="003F791F"/>
    <w:rPr>
      <w:b/>
      <w:bCs/>
    </w:rPr>
  </w:style>
  <w:style w:type="paragraph" w:styleId="af0">
    <w:name w:val="Balloon Text"/>
    <w:basedOn w:val="a"/>
    <w:uiPriority w:val="99"/>
    <w:semiHidden/>
    <w:unhideWhenUsed/>
    <w:qFormat/>
    <w:rsid w:val="003F791F"/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59"/>
    <w:rsid w:val="00EF7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237</Words>
  <Characters>1356</Characters>
  <Application>Microsoft Office Word</Application>
  <DocSecurity>0</DocSecurity>
  <Lines>11</Lines>
  <Paragraphs>3</Paragraphs>
  <ScaleCrop>false</ScaleCrop>
  <Company>DRSK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Мешков Станислав Юрьевич</dc:creator>
  <dc:description/>
  <cp:lastModifiedBy>Ирдуганова Ирина Николаевна</cp:lastModifiedBy>
  <cp:revision>28</cp:revision>
  <dcterms:created xsi:type="dcterms:W3CDTF">2023-03-01T06:43:00Z</dcterms:created>
  <dcterms:modified xsi:type="dcterms:W3CDTF">2023-09-27T00:16:00Z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NewReviewCycle">
    <vt:lpwstr/>
  </property>
</Properties>
</file>